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9A4DC" w14:textId="7C5263ED" w:rsidR="00512B4C" w:rsidRDefault="00A9335C" w:rsidP="00A9335C">
      <w:pPr>
        <w:jc w:val="center"/>
      </w:pPr>
      <w:r>
        <w:rPr>
          <w:noProof/>
        </w:rPr>
        <w:drawing>
          <wp:inline distT="0" distB="0" distL="0" distR="0" wp14:anchorId="7FD06471" wp14:editId="6881CA8E">
            <wp:extent cx="2259105" cy="1232171"/>
            <wp:effectExtent l="0" t="0" r="8255" b="6350"/>
            <wp:docPr id="793842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42033" name="Picture 7938420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5123" cy="1246362"/>
                    </a:xfrm>
                    <a:prstGeom prst="rect">
                      <a:avLst/>
                    </a:prstGeom>
                  </pic:spPr>
                </pic:pic>
              </a:graphicData>
            </a:graphic>
          </wp:inline>
        </w:drawing>
      </w:r>
    </w:p>
    <w:p w14:paraId="1B9D0278" w14:textId="6C980985" w:rsidR="00A9335C" w:rsidRDefault="00F75104" w:rsidP="005E0957">
      <w:pPr>
        <w:jc w:val="center"/>
        <w:rPr>
          <w:b/>
          <w:bCs/>
        </w:rPr>
      </w:pPr>
      <w:r>
        <w:rPr>
          <w:b/>
          <w:bCs/>
        </w:rPr>
        <w:t>ENTERPRISE CORPORATE PROPOSAL</w:t>
      </w:r>
    </w:p>
    <w:p w14:paraId="46AEBBAE" w14:textId="77777777" w:rsidR="00F75104" w:rsidRPr="00F75104" w:rsidRDefault="00F75104" w:rsidP="00F75104">
      <w:pPr>
        <w:rPr>
          <w:b/>
          <w:bCs/>
        </w:rPr>
      </w:pPr>
      <w:r w:rsidRPr="00F75104">
        <w:rPr>
          <w:b/>
          <w:bCs/>
        </w:rPr>
        <w:t>Technical-to-Management Cohort Accelerator &amp; PMP® Readiness Program</w:t>
      </w:r>
    </w:p>
    <w:p w14:paraId="3862D1C9" w14:textId="079FA0CB" w:rsidR="00F75104" w:rsidRPr="00F75104" w:rsidRDefault="0009442F" w:rsidP="00F75104">
      <w:r>
        <w:rPr>
          <w:b/>
          <w:bCs/>
        </w:rPr>
        <w:t>Prepared For</w:t>
      </w:r>
      <w:r w:rsidR="00F75104" w:rsidRPr="00F75104">
        <w:rPr>
          <w:b/>
          <w:bCs/>
        </w:rPr>
        <w:t>:</w:t>
      </w:r>
      <w:r w:rsidR="00F75104" w:rsidRPr="00F75104">
        <w:t xml:space="preserve"> </w:t>
      </w:r>
      <w:sdt>
        <w:sdtPr>
          <w:alias w:val="Client Company Name"/>
          <w:tag w:val="Client Company Name"/>
          <w:id w:val="296112278"/>
          <w:placeholder>
            <w:docPart w:val="DefaultPlaceholder_-1854013440"/>
          </w:placeholder>
          <w:showingPlcHdr/>
          <w15:color w:val="C0C0C0"/>
        </w:sdtPr>
        <w:sdtContent>
          <w:r w:rsidRPr="00375A84">
            <w:rPr>
              <w:rStyle w:val="PlaceholderText"/>
            </w:rPr>
            <w:t>Click or tap here to enter text.</w:t>
          </w:r>
        </w:sdtContent>
      </w:sdt>
      <w:r w:rsidR="00F75104" w:rsidRPr="00F75104">
        <w:br/>
      </w:r>
      <w:r w:rsidR="00F75104" w:rsidRPr="00F75104">
        <w:rPr>
          <w:b/>
          <w:bCs/>
        </w:rPr>
        <w:t>Target Group:</w:t>
      </w:r>
      <w:r w:rsidR="00F75104" w:rsidRPr="00F75104">
        <w:t xml:space="preserve"> </w:t>
      </w:r>
      <w:sdt>
        <w:sdtPr>
          <w:alias w:val="[e.g., Senior Software Engineers, Java Architects, Technical Team Leads]"/>
          <w:tag w:val="[e.g., Senior Software Engineers, Java Architects, Technical Team Leads]"/>
          <w:id w:val="-103817948"/>
          <w:placeholder>
            <w:docPart w:val="DefaultPlaceholder_-1854013440"/>
          </w:placeholder>
          <w:showingPlcHdr/>
          <w15:color w:val="FFFFFF"/>
        </w:sdtPr>
        <w:sdtContent>
          <w:r w:rsidRPr="00375A84">
            <w:rPr>
              <w:rStyle w:val="PlaceholderText"/>
            </w:rPr>
            <w:t>Click or tap here to enter text.</w:t>
          </w:r>
        </w:sdtContent>
      </w:sdt>
      <w:r w:rsidR="00F75104" w:rsidRPr="00F75104">
        <w:br/>
      </w:r>
      <w:r w:rsidR="00F75104" w:rsidRPr="00F75104">
        <w:rPr>
          <w:b/>
          <w:bCs/>
        </w:rPr>
        <w:t>Prepared By:</w:t>
      </w:r>
      <w:r w:rsidR="00F75104" w:rsidRPr="00F75104">
        <w:t xml:space="preserve"> Jyotsna Pai, Principal Consultant at Mindset Decoded</w:t>
      </w:r>
      <w:r w:rsidR="00F75104" w:rsidRPr="00F75104">
        <w:br/>
      </w:r>
      <w:r w:rsidR="00F75104" w:rsidRPr="00F75104">
        <w:rPr>
          <w:b/>
          <w:bCs/>
        </w:rPr>
        <w:t>Date:</w:t>
      </w:r>
      <w:r w:rsidR="00F75104" w:rsidRPr="00F75104">
        <w:t xml:space="preserve"> May 2026</w:t>
      </w:r>
      <w:r w:rsidR="00F75104" w:rsidRPr="00F75104">
        <w:br/>
      </w:r>
      <w:r w:rsidR="00F75104" w:rsidRPr="00F75104">
        <w:rPr>
          <w:b/>
          <w:bCs/>
        </w:rPr>
        <w:t>Document Ref:</w:t>
      </w:r>
      <w:r w:rsidR="00F75104" w:rsidRPr="00F75104">
        <w:t xml:space="preserve"> MD-PROP-</w:t>
      </w:r>
      <w:r w:rsidR="00F75104">
        <w:t>2026</w:t>
      </w:r>
      <w:r w:rsidR="00F75104" w:rsidRPr="00F75104">
        <w:t>-00</w:t>
      </w:r>
      <w:r w:rsidR="00B55EF5">
        <w:t>1-V1</w:t>
      </w:r>
    </w:p>
    <w:p w14:paraId="4216E21D" w14:textId="77777777" w:rsidR="00F75104" w:rsidRPr="00F75104" w:rsidRDefault="00000000" w:rsidP="00F75104">
      <w:r>
        <w:pict w14:anchorId="633CF815">
          <v:rect id="_x0000_i1025" style="width:0;height:1.5pt" o:hralign="center" o:hrstd="t" o:hr="t" fillcolor="#a0a0a0" stroked="f"/>
        </w:pict>
      </w:r>
    </w:p>
    <w:p w14:paraId="02ED4110" w14:textId="77777777" w:rsidR="00F75104" w:rsidRPr="00F75104" w:rsidRDefault="00F75104" w:rsidP="00F75104">
      <w:pPr>
        <w:rPr>
          <w:b/>
          <w:bCs/>
        </w:rPr>
      </w:pPr>
      <w:r w:rsidRPr="00F75104">
        <w:rPr>
          <w:b/>
          <w:bCs/>
        </w:rPr>
        <w:t>1. Executive Summary &amp; Objective</w:t>
      </w:r>
    </w:p>
    <w:p w14:paraId="62E5C413" w14:textId="29F74CB5" w:rsidR="00F75104" w:rsidRPr="00F75104" w:rsidRDefault="00F75104" w:rsidP="00F75104">
      <w:r w:rsidRPr="00F75104">
        <w:t>In modern, fast-paced technical environments, transitioning highly skilled technical specialists (such as developers, system architects, and tech leads) into effective project leaders is a critical organizational challenge. Technical minds excel at algorithmic logic but frequently struggle with the highly fluid, behavioural, and situational logic demanded by enterprise frameworks like the PMI Examination Content Outline (ECO).</w:t>
      </w:r>
    </w:p>
    <w:p w14:paraId="239FEEC3" w14:textId="77777777" w:rsidR="00F75104" w:rsidRPr="00F75104" w:rsidRDefault="00F75104" w:rsidP="00F75104">
      <w:r w:rsidRPr="00F75104">
        <w:rPr>
          <w:b/>
          <w:bCs/>
        </w:rPr>
        <w:t>Mindset Decoded</w:t>
      </w:r>
      <w:r w:rsidRPr="00F75104">
        <w:t xml:space="preserve"> provides a proprietary, turnkey delivery engine that bridges this cognitive gap. This program does not teach passive textbook memorization. Instead, it systematically implants an enterprise-grade </w:t>
      </w:r>
      <w:r w:rsidRPr="00F75104">
        <w:rPr>
          <w:b/>
          <w:bCs/>
        </w:rPr>
        <w:t>"Situational Mindset"</w:t>
      </w:r>
      <w:r w:rsidRPr="00F75104">
        <w:t xml:space="preserve"> into your engineering cohorts, rapidly accelerating their PMP® pass rates while immediately improving their cross-functional project delivery.</w:t>
      </w:r>
    </w:p>
    <w:p w14:paraId="499781DC" w14:textId="77777777" w:rsidR="00F75104" w:rsidRPr="00F75104" w:rsidRDefault="00000000" w:rsidP="00F75104">
      <w:r>
        <w:pict w14:anchorId="350618E4">
          <v:rect id="_x0000_i1026" style="width:0;height:1.5pt" o:hralign="center" o:hrstd="t" o:hr="t" fillcolor="#a0a0a0" stroked="f"/>
        </w:pict>
      </w:r>
    </w:p>
    <w:p w14:paraId="545DB8A7" w14:textId="77777777" w:rsidR="00F75104" w:rsidRPr="00F75104" w:rsidRDefault="00F75104" w:rsidP="00F75104">
      <w:pPr>
        <w:rPr>
          <w:b/>
          <w:bCs/>
        </w:rPr>
      </w:pPr>
      <w:r w:rsidRPr="00F75104">
        <w:rPr>
          <w:b/>
          <w:bCs/>
        </w:rPr>
        <w:t>2. The Core Methodological Frameworks</w:t>
      </w:r>
    </w:p>
    <w:p w14:paraId="2A81AF71" w14:textId="6C7D66C5" w:rsidR="00F75104" w:rsidRPr="00F75104" w:rsidRDefault="00F75104" w:rsidP="00F75104">
      <w:r w:rsidRPr="00F75104">
        <w:t xml:space="preserve">Every candidate enrolled in this enterprise accelerator gains access to the proprietary frameworks established in the </w:t>
      </w:r>
      <w:r>
        <w:t xml:space="preserve">600+ </w:t>
      </w:r>
      <w:r w:rsidRPr="00F75104">
        <w:t xml:space="preserve">page textbook, </w:t>
      </w:r>
      <w:r w:rsidRPr="00F75104">
        <w:rPr>
          <w:i/>
          <w:iCs/>
        </w:rPr>
        <w:t>PMP Mindset Decoded</w:t>
      </w:r>
      <w:r w:rsidRPr="00F75104">
        <w:t>, authored by Jyotsna Pai:</w:t>
      </w:r>
    </w:p>
    <w:p w14:paraId="4C34548C" w14:textId="61D8D6E3" w:rsidR="00F75104" w:rsidRPr="00F75104" w:rsidRDefault="00F75104" w:rsidP="00F75104">
      <w:pPr>
        <w:numPr>
          <w:ilvl w:val="0"/>
          <w:numId w:val="4"/>
        </w:numPr>
      </w:pPr>
      <w:r w:rsidRPr="00F75104">
        <w:rPr>
          <w:b/>
          <w:bCs/>
        </w:rPr>
        <w:t>The 4-Step Evaluation Flow:</w:t>
      </w:r>
      <w:r w:rsidRPr="00F75104">
        <w:t xml:space="preserve"> A strict, repeatable engineering-style workflow (</w:t>
      </w:r>
      <w:r w:rsidRPr="00F75104">
        <w:rPr>
          <w:i/>
          <w:iCs/>
        </w:rPr>
        <w:t xml:space="preserve">Assess </w:t>
      </w:r>
      <w:r w:rsidRPr="00F75104">
        <w:rPr>
          <w:i/>
          <w:iCs/>
        </w:rPr>
        <w:sym w:font="Wingdings" w:char="F0E0"/>
      </w:r>
      <w:r>
        <w:rPr>
          <w:i/>
          <w:iCs/>
        </w:rPr>
        <w:t xml:space="preserve"> </w:t>
      </w:r>
      <w:r w:rsidRPr="00F75104">
        <w:rPr>
          <w:i/>
          <w:iCs/>
        </w:rPr>
        <w:t xml:space="preserve">Consult </w:t>
      </w:r>
      <w:r w:rsidRPr="00F75104">
        <w:rPr>
          <w:i/>
          <w:iCs/>
        </w:rPr>
        <w:sym w:font="Wingdings" w:char="F0E0"/>
      </w:r>
      <w:r>
        <w:rPr>
          <w:i/>
          <w:iCs/>
        </w:rPr>
        <w:t xml:space="preserve"> </w:t>
      </w:r>
      <w:r w:rsidRPr="00F75104">
        <w:rPr>
          <w:i/>
          <w:iCs/>
        </w:rPr>
        <w:t xml:space="preserve">Plan </w:t>
      </w:r>
      <w:r w:rsidRPr="00F75104">
        <w:rPr>
          <w:i/>
          <w:iCs/>
        </w:rPr>
        <w:sym w:font="Wingdings" w:char="F0E0"/>
      </w:r>
      <w:r>
        <w:rPr>
          <w:i/>
          <w:iCs/>
        </w:rPr>
        <w:t xml:space="preserve"> </w:t>
      </w:r>
      <w:r w:rsidRPr="00F75104">
        <w:rPr>
          <w:i/>
          <w:iCs/>
        </w:rPr>
        <w:t>Act</w:t>
      </w:r>
      <w:r w:rsidRPr="00F75104">
        <w:t>) that teaches technical professionals how to systematically evaluate situational project impacts before taking reactive operational risks.</w:t>
      </w:r>
    </w:p>
    <w:p w14:paraId="0E9C582D" w14:textId="531E5516" w:rsidR="00F75104" w:rsidRPr="00F75104" w:rsidRDefault="00F75104" w:rsidP="00F75104">
      <w:pPr>
        <w:numPr>
          <w:ilvl w:val="0"/>
          <w:numId w:val="4"/>
        </w:numPr>
      </w:pPr>
      <w:r w:rsidRPr="00F75104">
        <w:rPr>
          <w:b/>
          <w:bCs/>
        </w:rPr>
        <w:lastRenderedPageBreak/>
        <w:t>13 Predictive Mindset Rules:</w:t>
      </w:r>
      <w:r w:rsidRPr="00F75104">
        <w:t xml:space="preserve"> Grounded heavily in the core behavioural categories of modern delivery (</w:t>
      </w:r>
      <w:r w:rsidRPr="00F75104">
        <w:rPr>
          <w:i/>
          <w:iCs/>
        </w:rPr>
        <w:t>Servant Leadership, Value Delivery, and Change Control</w:t>
      </w:r>
      <w:r w:rsidRPr="00F75104">
        <w:t>), these rules eliminate exam anxiety by providing hard guardrails for analysing complex, ambiguous scenario-based questions.</w:t>
      </w:r>
    </w:p>
    <w:p w14:paraId="1EEF7D9B" w14:textId="77777777" w:rsidR="00F75104" w:rsidRPr="00F75104" w:rsidRDefault="00F75104" w:rsidP="00F75104">
      <w:pPr>
        <w:numPr>
          <w:ilvl w:val="0"/>
          <w:numId w:val="4"/>
        </w:numPr>
      </w:pPr>
      <w:r w:rsidRPr="00F75104">
        <w:rPr>
          <w:b/>
          <w:bCs/>
        </w:rPr>
        <w:t>The Systematic 4-Step Evaluation Model:</w:t>
      </w:r>
      <w:r w:rsidRPr="00F75104">
        <w:t xml:space="preserve"> Custom-tailored mechanics that teach candidates how to prioritize competing constraints (Scope, Budget, Schedule, Quality) dynamically under intense test-day pacing.</w:t>
      </w:r>
    </w:p>
    <w:p w14:paraId="2CF99DAE" w14:textId="77777777" w:rsidR="00F75104" w:rsidRPr="00F75104" w:rsidRDefault="00F75104" w:rsidP="00F75104">
      <w:pPr>
        <w:rPr>
          <w:b/>
          <w:bCs/>
        </w:rPr>
      </w:pPr>
      <w:r w:rsidRPr="00F75104">
        <w:rPr>
          <w:b/>
          <w:bCs/>
        </w:rPr>
        <w:t>3. Program Structure &amp; Deliverables</w:t>
      </w:r>
    </w:p>
    <w:p w14:paraId="7F22DA3F" w14:textId="67E06DA3" w:rsidR="00F75104" w:rsidRPr="00F75104" w:rsidRDefault="00F75104" w:rsidP="00F75104">
      <w:r w:rsidRPr="00F75104">
        <w:t xml:space="preserve">This cohort accelerator is executed over a structured </w:t>
      </w:r>
      <w:r w:rsidRPr="00F75104">
        <w:rPr>
          <w:b/>
          <w:bCs/>
        </w:rPr>
        <w:t>4-to-6-week hybrid runway</w:t>
      </w:r>
      <w:r w:rsidRPr="00F75104">
        <w:t>, optimized to ensure zero disruption to your active development pipelines: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7"/>
        <w:gridCol w:w="2889"/>
        <w:gridCol w:w="5300"/>
      </w:tblGrid>
      <w:tr w:rsidR="00F75104" w:rsidRPr="00F75104" w14:paraId="502F9640" w14:textId="77777777" w:rsidTr="00F75104">
        <w:trPr>
          <w:tblCellSpacing w:w="15" w:type="dxa"/>
        </w:trPr>
        <w:tc>
          <w:tcPr>
            <w:tcW w:w="0" w:type="auto"/>
            <w:shd w:val="clear" w:color="auto" w:fill="D1D1D1" w:themeFill="background2" w:themeFillShade="E6"/>
            <w:vAlign w:val="center"/>
            <w:hideMark/>
          </w:tcPr>
          <w:p w14:paraId="771BB25F" w14:textId="77777777" w:rsidR="00F75104" w:rsidRPr="00F75104" w:rsidRDefault="00F75104" w:rsidP="00F75104">
            <w:pPr>
              <w:rPr>
                <w:b/>
                <w:bCs/>
              </w:rPr>
            </w:pPr>
            <w:r w:rsidRPr="00F75104">
              <w:rPr>
                <w:b/>
                <w:bCs/>
              </w:rPr>
              <w:t>Phase</w:t>
            </w:r>
          </w:p>
        </w:tc>
        <w:tc>
          <w:tcPr>
            <w:tcW w:w="0" w:type="auto"/>
            <w:shd w:val="clear" w:color="auto" w:fill="D1D1D1" w:themeFill="background2" w:themeFillShade="E6"/>
            <w:vAlign w:val="center"/>
            <w:hideMark/>
          </w:tcPr>
          <w:p w14:paraId="7C96E0B7" w14:textId="77777777" w:rsidR="00F75104" w:rsidRPr="00F75104" w:rsidRDefault="00F75104" w:rsidP="00F75104">
            <w:pPr>
              <w:rPr>
                <w:b/>
                <w:bCs/>
              </w:rPr>
            </w:pPr>
            <w:r w:rsidRPr="00F75104">
              <w:rPr>
                <w:b/>
                <w:bCs/>
              </w:rPr>
              <w:t>Milestone / Deliverable</w:t>
            </w:r>
          </w:p>
        </w:tc>
        <w:tc>
          <w:tcPr>
            <w:tcW w:w="0" w:type="auto"/>
            <w:shd w:val="clear" w:color="auto" w:fill="D1D1D1" w:themeFill="background2" w:themeFillShade="E6"/>
            <w:vAlign w:val="center"/>
            <w:hideMark/>
          </w:tcPr>
          <w:p w14:paraId="4337D693" w14:textId="77777777" w:rsidR="00F75104" w:rsidRPr="00F75104" w:rsidRDefault="00F75104" w:rsidP="00F75104">
            <w:pPr>
              <w:rPr>
                <w:b/>
                <w:bCs/>
              </w:rPr>
            </w:pPr>
            <w:r w:rsidRPr="00F75104">
              <w:rPr>
                <w:b/>
                <w:bCs/>
              </w:rPr>
              <w:t>Focus &amp; Outcome</w:t>
            </w:r>
          </w:p>
        </w:tc>
      </w:tr>
      <w:tr w:rsidR="00F75104" w:rsidRPr="00F75104" w14:paraId="7BA24E08" w14:textId="77777777" w:rsidTr="00F75104">
        <w:trPr>
          <w:tblCellSpacing w:w="15" w:type="dxa"/>
        </w:trPr>
        <w:tc>
          <w:tcPr>
            <w:tcW w:w="0" w:type="auto"/>
            <w:vAlign w:val="center"/>
            <w:hideMark/>
          </w:tcPr>
          <w:p w14:paraId="4CA3EEB7" w14:textId="77777777" w:rsidR="00F75104" w:rsidRPr="00F75104" w:rsidRDefault="00F75104" w:rsidP="00F75104">
            <w:r w:rsidRPr="00F75104">
              <w:rPr>
                <w:b/>
                <w:bCs/>
              </w:rPr>
              <w:t>Phase 1</w:t>
            </w:r>
          </w:p>
        </w:tc>
        <w:tc>
          <w:tcPr>
            <w:tcW w:w="0" w:type="auto"/>
            <w:vAlign w:val="center"/>
            <w:hideMark/>
          </w:tcPr>
          <w:p w14:paraId="4809B7AC" w14:textId="77777777" w:rsidR="00F75104" w:rsidRPr="00F75104" w:rsidRDefault="00F75104" w:rsidP="00F75104">
            <w:r w:rsidRPr="00F75104">
              <w:rPr>
                <w:b/>
                <w:bCs/>
              </w:rPr>
              <w:t>Technical Alignment &amp; Blueprint Integration</w:t>
            </w:r>
          </w:p>
        </w:tc>
        <w:tc>
          <w:tcPr>
            <w:tcW w:w="0" w:type="auto"/>
            <w:vAlign w:val="center"/>
            <w:hideMark/>
          </w:tcPr>
          <w:p w14:paraId="37D82F7B" w14:textId="77777777" w:rsidR="00F75104" w:rsidRPr="00F75104" w:rsidRDefault="00F75104" w:rsidP="00F75104">
            <w:r w:rsidRPr="00F75104">
              <w:t>1-on-1 Application Auditing and alignment of current engineering sprint habits with PMBOK® 7/8 task logic.</w:t>
            </w:r>
          </w:p>
        </w:tc>
      </w:tr>
      <w:tr w:rsidR="00F75104" w:rsidRPr="00F75104" w14:paraId="59E95675" w14:textId="77777777" w:rsidTr="00F75104">
        <w:trPr>
          <w:tblCellSpacing w:w="15" w:type="dxa"/>
        </w:trPr>
        <w:tc>
          <w:tcPr>
            <w:tcW w:w="0" w:type="auto"/>
            <w:vAlign w:val="center"/>
            <w:hideMark/>
          </w:tcPr>
          <w:p w14:paraId="1C988CA2" w14:textId="77777777" w:rsidR="00F75104" w:rsidRPr="00F75104" w:rsidRDefault="00F75104" w:rsidP="00F75104">
            <w:r w:rsidRPr="00F75104">
              <w:rPr>
                <w:b/>
                <w:bCs/>
              </w:rPr>
              <w:t>Phase 2</w:t>
            </w:r>
          </w:p>
        </w:tc>
        <w:tc>
          <w:tcPr>
            <w:tcW w:w="0" w:type="auto"/>
            <w:vAlign w:val="center"/>
            <w:hideMark/>
          </w:tcPr>
          <w:p w14:paraId="2357E2EB" w14:textId="77777777" w:rsidR="00F75104" w:rsidRPr="00F75104" w:rsidRDefault="00F75104" w:rsidP="00F75104">
            <w:r w:rsidRPr="00F75104">
              <w:rPr>
                <w:b/>
                <w:bCs/>
              </w:rPr>
              <w:t>Core Masterclasses (Virtual or Hybrid Delivery)</w:t>
            </w:r>
          </w:p>
        </w:tc>
        <w:tc>
          <w:tcPr>
            <w:tcW w:w="0" w:type="auto"/>
            <w:vAlign w:val="center"/>
            <w:hideMark/>
          </w:tcPr>
          <w:p w14:paraId="7DA91075" w14:textId="77777777" w:rsidR="00F75104" w:rsidRPr="00F75104" w:rsidRDefault="00F75104" w:rsidP="00F75104">
            <w:r w:rsidRPr="00F75104">
              <w:t xml:space="preserve">Intensive deep-dives into the </w:t>
            </w:r>
            <w:r w:rsidRPr="00F75104">
              <w:rPr>
                <w:i/>
                <w:iCs/>
              </w:rPr>
              <w:t>13 Predictive Rules</w:t>
            </w:r>
            <w:r w:rsidRPr="00F75104">
              <w:t xml:space="preserve"> and the </w:t>
            </w:r>
            <w:r w:rsidRPr="00F75104">
              <w:rPr>
                <w:i/>
                <w:iCs/>
              </w:rPr>
              <w:t>4-Step Evaluation Flow</w:t>
            </w:r>
            <w:r w:rsidRPr="00F75104">
              <w:t xml:space="preserve"> using real-world situational case studies.</w:t>
            </w:r>
          </w:p>
        </w:tc>
      </w:tr>
      <w:tr w:rsidR="00F75104" w:rsidRPr="00F75104" w14:paraId="1019A09B" w14:textId="77777777" w:rsidTr="00F75104">
        <w:trPr>
          <w:tblCellSpacing w:w="15" w:type="dxa"/>
        </w:trPr>
        <w:tc>
          <w:tcPr>
            <w:tcW w:w="0" w:type="auto"/>
            <w:vAlign w:val="center"/>
            <w:hideMark/>
          </w:tcPr>
          <w:p w14:paraId="67A6AD61" w14:textId="77777777" w:rsidR="00F75104" w:rsidRPr="00F75104" w:rsidRDefault="00F75104" w:rsidP="00F75104">
            <w:r w:rsidRPr="00F75104">
              <w:rPr>
                <w:b/>
                <w:bCs/>
              </w:rPr>
              <w:t>Phase 3</w:t>
            </w:r>
          </w:p>
        </w:tc>
        <w:tc>
          <w:tcPr>
            <w:tcW w:w="0" w:type="auto"/>
            <w:vAlign w:val="center"/>
            <w:hideMark/>
          </w:tcPr>
          <w:p w14:paraId="00564B24" w14:textId="77777777" w:rsidR="00F75104" w:rsidRPr="00F75104" w:rsidRDefault="00F75104" w:rsidP="00F75104">
            <w:r w:rsidRPr="00F75104">
              <w:rPr>
                <w:b/>
                <w:bCs/>
              </w:rPr>
              <w:t>Forensic Mock Exam Analysis</w:t>
            </w:r>
          </w:p>
        </w:tc>
        <w:tc>
          <w:tcPr>
            <w:tcW w:w="0" w:type="auto"/>
            <w:vAlign w:val="center"/>
            <w:hideMark/>
          </w:tcPr>
          <w:p w14:paraId="098D62F2" w14:textId="77777777" w:rsidR="00F75104" w:rsidRPr="00F75104" w:rsidRDefault="00F75104" w:rsidP="00F75104">
            <w:r w:rsidRPr="00F75104">
              <w:t>Deep-dive tracking of candidate test metrics to uncover cognitive blind spots and eliminate reactive decision patterns.</w:t>
            </w:r>
          </w:p>
        </w:tc>
      </w:tr>
      <w:tr w:rsidR="00F75104" w:rsidRPr="00F75104" w14:paraId="455ADF52" w14:textId="77777777" w:rsidTr="00F75104">
        <w:trPr>
          <w:tblCellSpacing w:w="15" w:type="dxa"/>
        </w:trPr>
        <w:tc>
          <w:tcPr>
            <w:tcW w:w="0" w:type="auto"/>
            <w:vAlign w:val="center"/>
            <w:hideMark/>
          </w:tcPr>
          <w:p w14:paraId="42330F20" w14:textId="77777777" w:rsidR="00F75104" w:rsidRPr="00F75104" w:rsidRDefault="00F75104" w:rsidP="00F75104">
            <w:r w:rsidRPr="00F75104">
              <w:rPr>
                <w:b/>
                <w:bCs/>
              </w:rPr>
              <w:t>Phase 4</w:t>
            </w:r>
          </w:p>
        </w:tc>
        <w:tc>
          <w:tcPr>
            <w:tcW w:w="0" w:type="auto"/>
            <w:vAlign w:val="center"/>
            <w:hideMark/>
          </w:tcPr>
          <w:p w14:paraId="3BD80B64" w14:textId="77777777" w:rsidR="00F75104" w:rsidRPr="00F75104" w:rsidRDefault="00F75104" w:rsidP="00F75104">
            <w:r w:rsidRPr="00F75104">
              <w:rPr>
                <w:b/>
                <w:bCs/>
              </w:rPr>
              <w:t>Final Readiness Certification</w:t>
            </w:r>
          </w:p>
        </w:tc>
        <w:tc>
          <w:tcPr>
            <w:tcW w:w="0" w:type="auto"/>
            <w:vAlign w:val="center"/>
            <w:hideMark/>
          </w:tcPr>
          <w:p w14:paraId="6A39C581" w14:textId="77777777" w:rsidR="00F75104" w:rsidRPr="00F75104" w:rsidRDefault="00F75104" w:rsidP="00F75104">
            <w:r w:rsidRPr="00F75104">
              <w:t>Final stamina, pacing, and test-day fatigue optimization drills to guarantee an "Above Target" delivery mindset.</w:t>
            </w:r>
          </w:p>
        </w:tc>
      </w:tr>
    </w:tbl>
    <w:p w14:paraId="139B81B5" w14:textId="77777777" w:rsidR="00F75104" w:rsidRDefault="00F75104" w:rsidP="00F75104">
      <w:pPr>
        <w:rPr>
          <w:b/>
          <w:bCs/>
        </w:rPr>
      </w:pPr>
    </w:p>
    <w:p w14:paraId="4A36377D" w14:textId="27DAE54D" w:rsidR="00F75104" w:rsidRPr="00F75104" w:rsidRDefault="00F75104" w:rsidP="00F75104">
      <w:r w:rsidRPr="00F75104">
        <w:rPr>
          <w:b/>
          <w:bCs/>
        </w:rPr>
        <w:t>Included Materials:</w:t>
      </w:r>
    </w:p>
    <w:p w14:paraId="1CFB8310" w14:textId="039459DA" w:rsidR="00F75104" w:rsidRPr="00F75104" w:rsidRDefault="00F75104" w:rsidP="00F75104">
      <w:pPr>
        <w:numPr>
          <w:ilvl w:val="0"/>
          <w:numId w:val="5"/>
        </w:numPr>
      </w:pPr>
      <w:r w:rsidRPr="00F75104">
        <w:t xml:space="preserve">Full corporate licensing and physical copies of the </w:t>
      </w:r>
      <w:r>
        <w:t xml:space="preserve">600+ </w:t>
      </w:r>
      <w:r w:rsidRPr="00F75104">
        <w:t xml:space="preserve">page textbook </w:t>
      </w:r>
      <w:r w:rsidRPr="00F75104">
        <w:rPr>
          <w:b/>
          <w:bCs/>
          <w:i/>
          <w:iCs/>
        </w:rPr>
        <w:t>PMP Mindset Decoded</w:t>
      </w:r>
      <w:r w:rsidRPr="00F75104">
        <w:t xml:space="preserve"> for every enrolled participant.</w:t>
      </w:r>
    </w:p>
    <w:p w14:paraId="77DFCFAE" w14:textId="77777777" w:rsidR="00F75104" w:rsidRPr="00F75104" w:rsidRDefault="00F75104" w:rsidP="00F75104">
      <w:pPr>
        <w:numPr>
          <w:ilvl w:val="0"/>
          <w:numId w:val="5"/>
        </w:numPr>
      </w:pPr>
      <w:r w:rsidRPr="00F75104">
        <w:t xml:space="preserve">Full access to our proprietary bank of </w:t>
      </w:r>
      <w:r w:rsidRPr="00F75104">
        <w:rPr>
          <w:b/>
          <w:bCs/>
        </w:rPr>
        <w:t>500 expert-level situational practice questions</w:t>
      </w:r>
      <w:r w:rsidRPr="00F75104">
        <w:t>.</w:t>
      </w:r>
    </w:p>
    <w:p w14:paraId="1011E93E" w14:textId="77777777" w:rsidR="00F75104" w:rsidRPr="00F75104" w:rsidRDefault="00F75104" w:rsidP="00F75104">
      <w:pPr>
        <w:rPr>
          <w:b/>
          <w:bCs/>
        </w:rPr>
      </w:pPr>
      <w:r w:rsidRPr="00F75104">
        <w:rPr>
          <w:b/>
          <w:bCs/>
        </w:rPr>
        <w:t>4. Commercial Options &amp; Investment Tiering</w:t>
      </w:r>
    </w:p>
    <w:p w14:paraId="1A2DA1E1" w14:textId="77777777" w:rsidR="00F75104" w:rsidRPr="00F75104" w:rsidRDefault="00F75104" w:rsidP="00F75104">
      <w:r w:rsidRPr="00F75104">
        <w:t>To provide maximum operational flexibility, select the investment tier that matches your current department parameters:</w:t>
      </w:r>
    </w:p>
    <w:p w14:paraId="63A7EA9C" w14:textId="77777777" w:rsidR="00F75104" w:rsidRPr="00F75104" w:rsidRDefault="00F75104" w:rsidP="00F75104">
      <w:pPr>
        <w:rPr>
          <w:b/>
          <w:bCs/>
        </w:rPr>
      </w:pPr>
      <w:r w:rsidRPr="00F75104">
        <w:rPr>
          <w:b/>
          <w:bCs/>
        </w:rPr>
        <w:lastRenderedPageBreak/>
        <w:t>Option A: The Team Accelerator Cohort (Up to 10 Participants)</w:t>
      </w:r>
    </w:p>
    <w:p w14:paraId="3BE05384" w14:textId="77777777" w:rsidR="00F75104" w:rsidRPr="00F75104" w:rsidRDefault="00F75104" w:rsidP="00F75104">
      <w:pPr>
        <w:numPr>
          <w:ilvl w:val="0"/>
          <w:numId w:val="6"/>
        </w:numPr>
      </w:pPr>
      <w:r w:rsidRPr="00F75104">
        <w:rPr>
          <w:b/>
          <w:bCs/>
        </w:rPr>
        <w:t>Best For:</w:t>
      </w:r>
      <w:r w:rsidRPr="00F75104">
        <w:t xml:space="preserve"> Specialized software engineering squads or newly promoted technical team leads.</w:t>
      </w:r>
    </w:p>
    <w:p w14:paraId="27F0B78F" w14:textId="77777777" w:rsidR="00F75104" w:rsidRPr="00F75104" w:rsidRDefault="00F75104" w:rsidP="00F75104">
      <w:pPr>
        <w:numPr>
          <w:ilvl w:val="0"/>
          <w:numId w:val="6"/>
        </w:numPr>
      </w:pPr>
      <w:r w:rsidRPr="00F75104">
        <w:rPr>
          <w:b/>
          <w:bCs/>
        </w:rPr>
        <w:t>Includes:</w:t>
      </w:r>
      <w:r w:rsidRPr="00F75104">
        <w:t xml:space="preserve"> 10x Copies of </w:t>
      </w:r>
      <w:r w:rsidRPr="00F75104">
        <w:rPr>
          <w:i/>
          <w:iCs/>
        </w:rPr>
        <w:t>PMP Mindset Decoded</w:t>
      </w:r>
      <w:r w:rsidRPr="00F75104">
        <w:t>, full virtual workshop delivery, application vetting, and group forensic exam reviews.</w:t>
      </w:r>
    </w:p>
    <w:p w14:paraId="58BEC329" w14:textId="2565CB21" w:rsidR="00F75104" w:rsidRPr="00F75104" w:rsidRDefault="00F75104" w:rsidP="00F75104">
      <w:pPr>
        <w:numPr>
          <w:ilvl w:val="0"/>
          <w:numId w:val="6"/>
        </w:numPr>
      </w:pPr>
      <w:r w:rsidRPr="00F75104">
        <w:rPr>
          <w:b/>
          <w:bCs/>
        </w:rPr>
        <w:t>Investment:</w:t>
      </w:r>
      <w:r w:rsidRPr="00F75104">
        <w:t xml:space="preserve"> </w:t>
      </w:r>
      <w:r w:rsidRPr="00F75104">
        <w:rPr>
          <w:b/>
          <w:bCs/>
        </w:rPr>
        <w:t>$1</w:t>
      </w:r>
      <w:r>
        <w:rPr>
          <w:b/>
          <w:bCs/>
        </w:rPr>
        <w:t>3</w:t>
      </w:r>
      <w:r w:rsidRPr="00F75104">
        <w:rPr>
          <w:b/>
          <w:bCs/>
        </w:rPr>
        <w:t>,500 AUD (Flat Package Rate)</w:t>
      </w:r>
    </w:p>
    <w:p w14:paraId="2951F069" w14:textId="77777777" w:rsidR="00F75104" w:rsidRPr="00F75104" w:rsidRDefault="00F75104" w:rsidP="00F75104">
      <w:pPr>
        <w:rPr>
          <w:b/>
          <w:bCs/>
        </w:rPr>
      </w:pPr>
      <w:r w:rsidRPr="00F75104">
        <w:rPr>
          <w:b/>
          <w:bCs/>
        </w:rPr>
        <w:t>Option B: Elite Executive 1-on-1 VIP Mentorship (Per Individual)</w:t>
      </w:r>
    </w:p>
    <w:p w14:paraId="4780B0EE" w14:textId="77777777" w:rsidR="00F75104" w:rsidRPr="00F75104" w:rsidRDefault="00F75104" w:rsidP="00F75104">
      <w:pPr>
        <w:numPr>
          <w:ilvl w:val="0"/>
          <w:numId w:val="7"/>
        </w:numPr>
      </w:pPr>
      <w:r w:rsidRPr="00F75104">
        <w:rPr>
          <w:b/>
          <w:bCs/>
        </w:rPr>
        <w:t>Best For:</w:t>
      </w:r>
      <w:r w:rsidRPr="00F75104">
        <w:t xml:space="preserve"> High-potential Senior Managers, Engineering Directors, or Enterprise Architects fast-tracking to operational leadership.</w:t>
      </w:r>
    </w:p>
    <w:p w14:paraId="2F106A90" w14:textId="77777777" w:rsidR="00F75104" w:rsidRPr="00F75104" w:rsidRDefault="00F75104" w:rsidP="00F75104">
      <w:pPr>
        <w:numPr>
          <w:ilvl w:val="0"/>
          <w:numId w:val="7"/>
        </w:numPr>
      </w:pPr>
      <w:r w:rsidRPr="00F75104">
        <w:rPr>
          <w:b/>
          <w:bCs/>
        </w:rPr>
        <w:t>Includes:</w:t>
      </w:r>
      <w:r w:rsidRPr="00F75104">
        <w:t xml:space="preserve"> Direct, private continuous access to Jyotsna Pai, customized mock exam forensics, personalized application structural polish, and WhatsApp emergency support.</w:t>
      </w:r>
    </w:p>
    <w:p w14:paraId="23D4D075" w14:textId="77777777" w:rsidR="00F75104" w:rsidRPr="00F75104" w:rsidRDefault="00F75104" w:rsidP="00F75104">
      <w:pPr>
        <w:numPr>
          <w:ilvl w:val="0"/>
          <w:numId w:val="7"/>
        </w:numPr>
      </w:pPr>
      <w:r w:rsidRPr="00F75104">
        <w:rPr>
          <w:b/>
          <w:bCs/>
        </w:rPr>
        <w:t>Investment:</w:t>
      </w:r>
      <w:r w:rsidRPr="00F75104">
        <w:t xml:space="preserve"> </w:t>
      </w:r>
      <w:r w:rsidRPr="00F75104">
        <w:rPr>
          <w:b/>
          <w:bCs/>
        </w:rPr>
        <w:t>$2,450 AUD (Per Participant)</w:t>
      </w:r>
    </w:p>
    <w:p w14:paraId="364DF08C" w14:textId="77777777" w:rsidR="00F75104" w:rsidRPr="00F75104" w:rsidRDefault="00F75104" w:rsidP="00F75104">
      <w:pPr>
        <w:rPr>
          <w:b/>
          <w:bCs/>
        </w:rPr>
      </w:pPr>
      <w:r w:rsidRPr="00F75104">
        <w:rPr>
          <w:b/>
          <w:bCs/>
        </w:rPr>
        <w:t>Option C: Enterprise Associate Day-Rate Delivery (ATO/ATP Model)</w:t>
      </w:r>
    </w:p>
    <w:p w14:paraId="6711EEBE" w14:textId="77777777" w:rsidR="00F75104" w:rsidRPr="00F75104" w:rsidRDefault="00F75104" w:rsidP="00F75104">
      <w:pPr>
        <w:numPr>
          <w:ilvl w:val="0"/>
          <w:numId w:val="8"/>
        </w:numPr>
      </w:pPr>
      <w:r w:rsidRPr="00F75104">
        <w:rPr>
          <w:b/>
          <w:bCs/>
        </w:rPr>
        <w:t>Best For:</w:t>
      </w:r>
      <w:r w:rsidRPr="00F75104">
        <w:t xml:space="preserve"> Authorized Training Organizations requiring white-glove, expert contractor delivery for their Tier-1 corporate clients.</w:t>
      </w:r>
    </w:p>
    <w:p w14:paraId="3600DE98" w14:textId="77777777" w:rsidR="00F75104" w:rsidRPr="00F75104" w:rsidRDefault="00F75104" w:rsidP="00F75104">
      <w:pPr>
        <w:numPr>
          <w:ilvl w:val="0"/>
          <w:numId w:val="8"/>
        </w:numPr>
      </w:pPr>
      <w:r w:rsidRPr="00F75104">
        <w:rPr>
          <w:b/>
          <w:bCs/>
        </w:rPr>
        <w:t>Includes:</w:t>
      </w:r>
      <w:r w:rsidRPr="00F75104">
        <w:t xml:space="preserve"> Complete plug-and-play facilitation of established schedules utilizing the </w:t>
      </w:r>
      <w:r w:rsidRPr="00F75104">
        <w:rPr>
          <w:i/>
          <w:iCs/>
        </w:rPr>
        <w:t>Mindset Decoded</w:t>
      </w:r>
      <w:r w:rsidRPr="00F75104">
        <w:t xml:space="preserve"> authority asset.</w:t>
      </w:r>
    </w:p>
    <w:p w14:paraId="5A683274" w14:textId="1A52914A" w:rsidR="00F75104" w:rsidRPr="00F75104" w:rsidRDefault="00F75104" w:rsidP="00F75104">
      <w:pPr>
        <w:numPr>
          <w:ilvl w:val="0"/>
          <w:numId w:val="8"/>
        </w:numPr>
      </w:pPr>
      <w:r w:rsidRPr="00F75104">
        <w:rPr>
          <w:b/>
          <w:bCs/>
        </w:rPr>
        <w:t>Investment:</w:t>
      </w:r>
      <w:r w:rsidRPr="00F75104">
        <w:t xml:space="preserve"> </w:t>
      </w:r>
      <w:r w:rsidRPr="00F75104">
        <w:rPr>
          <w:b/>
          <w:bCs/>
        </w:rPr>
        <w:t>$1,</w:t>
      </w:r>
      <w:r w:rsidR="003E46B1">
        <w:rPr>
          <w:b/>
          <w:bCs/>
        </w:rPr>
        <w:t>1</w:t>
      </w:r>
      <w:r w:rsidRPr="00F75104">
        <w:rPr>
          <w:b/>
          <w:bCs/>
        </w:rPr>
        <w:t xml:space="preserve">00 AUD / Day (Minimum </w:t>
      </w:r>
      <w:r w:rsidR="00471557">
        <w:rPr>
          <w:b/>
          <w:bCs/>
        </w:rPr>
        <w:t>4</w:t>
      </w:r>
      <w:r w:rsidRPr="00F75104">
        <w:rPr>
          <w:b/>
          <w:bCs/>
        </w:rPr>
        <w:t>-Day Engagement)</w:t>
      </w:r>
    </w:p>
    <w:p w14:paraId="27B7AAB8" w14:textId="77777777" w:rsidR="00F75104" w:rsidRPr="00F75104" w:rsidRDefault="00F75104" w:rsidP="00F75104">
      <w:pPr>
        <w:rPr>
          <w:b/>
          <w:bCs/>
        </w:rPr>
      </w:pPr>
      <w:r w:rsidRPr="00F75104">
        <w:rPr>
          <w:b/>
          <w:bCs/>
        </w:rPr>
        <w:t>5. Terms, Conditions, &amp; Next Steps</w:t>
      </w:r>
    </w:p>
    <w:p w14:paraId="4C1D2F22" w14:textId="77777777" w:rsidR="00F75104" w:rsidRPr="00F75104" w:rsidRDefault="00F75104" w:rsidP="00F75104">
      <w:pPr>
        <w:numPr>
          <w:ilvl w:val="0"/>
          <w:numId w:val="9"/>
        </w:numPr>
      </w:pPr>
      <w:r w:rsidRPr="00F75104">
        <w:rPr>
          <w:b/>
          <w:bCs/>
        </w:rPr>
        <w:t>Validity:</w:t>
      </w:r>
      <w:r w:rsidRPr="00F75104">
        <w:t xml:space="preserve"> This proposal and its commercial models remain valid for 60 days from the issue date.</w:t>
      </w:r>
    </w:p>
    <w:p w14:paraId="16A60079" w14:textId="77777777" w:rsidR="00F75104" w:rsidRPr="00F75104" w:rsidRDefault="00F75104" w:rsidP="00F75104">
      <w:pPr>
        <w:numPr>
          <w:ilvl w:val="0"/>
          <w:numId w:val="9"/>
        </w:numPr>
      </w:pPr>
      <w:r w:rsidRPr="00F75104">
        <w:rPr>
          <w:b/>
          <w:bCs/>
        </w:rPr>
        <w:t>Payment Terms:</w:t>
      </w:r>
      <w:r w:rsidRPr="00F75104">
        <w:t xml:space="preserve"> 50% mobilization fee required upon contract signing; 50% upon completion of the final delivery milestone.</w:t>
      </w:r>
    </w:p>
    <w:p w14:paraId="796CE29E" w14:textId="77777777" w:rsidR="00F75104" w:rsidRPr="00F75104" w:rsidRDefault="00F75104" w:rsidP="00F75104">
      <w:pPr>
        <w:numPr>
          <w:ilvl w:val="0"/>
          <w:numId w:val="9"/>
        </w:numPr>
      </w:pPr>
      <w:r w:rsidRPr="00F75104">
        <w:rPr>
          <w:b/>
          <w:bCs/>
        </w:rPr>
        <w:t>Scheduling:</w:t>
      </w:r>
      <w:r w:rsidRPr="00F75104">
        <w:t xml:space="preserve"> Cohort commencement dates are secured on a first-come, first-served basis upon receipt of deposit.</w:t>
      </w:r>
    </w:p>
    <w:p w14:paraId="08E7CE5D" w14:textId="77777777" w:rsidR="00F75104" w:rsidRDefault="00F75104">
      <w:pPr>
        <w:rPr>
          <w:b/>
          <w:bCs/>
        </w:rPr>
      </w:pPr>
      <w:r>
        <w:rPr>
          <w:b/>
          <w:bCs/>
        </w:rPr>
        <w:br w:type="page"/>
      </w:r>
    </w:p>
    <w:p w14:paraId="613EBE3C" w14:textId="4D2E6BBB" w:rsidR="00F75104" w:rsidRPr="00F75104" w:rsidRDefault="00F75104" w:rsidP="00F75104">
      <w:pPr>
        <w:rPr>
          <w:b/>
          <w:bCs/>
        </w:rPr>
      </w:pPr>
      <w:r w:rsidRPr="00F75104">
        <w:rPr>
          <w:b/>
          <w:bCs/>
        </w:rPr>
        <w:lastRenderedPageBreak/>
        <w:t>How to Proceed:</w:t>
      </w:r>
    </w:p>
    <w:p w14:paraId="3F14E0EF" w14:textId="6598FDBA" w:rsidR="00F75104" w:rsidRPr="00F75104" w:rsidRDefault="00F75104" w:rsidP="00F75104">
      <w:r w:rsidRPr="00F75104">
        <w:t xml:space="preserve">To accept this proposal or request a technical scoping calibration call, please contact </w:t>
      </w:r>
      <w:r>
        <w:t>us.</w:t>
      </w:r>
    </w:p>
    <w:p w14:paraId="46DE16CE" w14:textId="37A5E7F3" w:rsidR="00F75104" w:rsidRPr="00A9335C" w:rsidRDefault="00F75104" w:rsidP="00F75104">
      <w:r w:rsidRPr="00F75104">
        <w:rPr>
          <w:b/>
          <w:bCs/>
        </w:rPr>
        <w:t>Jyotsna Pai</w:t>
      </w:r>
      <w:r w:rsidRPr="00F75104">
        <w:br/>
        <w:t>Principal Consultant | Mindset Decoded</w:t>
      </w:r>
      <w:r w:rsidRPr="00F75104">
        <w:br/>
        <w:t xml:space="preserve">Author of </w:t>
      </w:r>
      <w:r w:rsidRPr="00F75104">
        <w:rPr>
          <w:i/>
          <w:iCs/>
        </w:rPr>
        <w:t>PMP Mindset Decoded</w:t>
      </w:r>
      <w:r w:rsidRPr="00F75104">
        <w:t xml:space="preserve"> | PMP® | CSM® | Safe® 6.0</w:t>
      </w:r>
      <w:r w:rsidRPr="00F75104">
        <w:br/>
      </w:r>
      <w:r w:rsidRPr="00F75104">
        <w:rPr>
          <w:b/>
          <w:bCs/>
        </w:rPr>
        <w:t>E:</w:t>
      </w:r>
      <w:r w:rsidRPr="00F75104">
        <w:t xml:space="preserve"> </w:t>
      </w:r>
      <w:r>
        <w:t>Jyotsna.pai</w:t>
      </w:r>
      <w:r w:rsidRPr="00F75104">
        <w:t>@mindsetdecoded.com.au</w:t>
      </w:r>
      <w:r w:rsidRPr="00F75104">
        <w:br/>
      </w:r>
      <w:r w:rsidRPr="00F75104">
        <w:rPr>
          <w:b/>
          <w:bCs/>
        </w:rPr>
        <w:t>W:</w:t>
      </w:r>
      <w:r w:rsidRPr="00F75104">
        <w:t xml:space="preserve"> mindsetdecoded.com.au</w:t>
      </w:r>
    </w:p>
    <w:sectPr w:rsidR="00F75104" w:rsidRPr="00A9335C">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14E99" w14:textId="77777777" w:rsidR="00FD29A2" w:rsidRDefault="00FD29A2" w:rsidP="00A9335C">
      <w:pPr>
        <w:spacing w:after="0" w:line="240" w:lineRule="auto"/>
      </w:pPr>
      <w:r>
        <w:separator/>
      </w:r>
    </w:p>
  </w:endnote>
  <w:endnote w:type="continuationSeparator" w:id="0">
    <w:p w14:paraId="1BCB48BB" w14:textId="77777777" w:rsidR="00FD29A2" w:rsidRDefault="00FD29A2" w:rsidP="00A93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F67B" w14:textId="792E2C2A" w:rsidR="005E0957" w:rsidRPr="00A911E9" w:rsidRDefault="00A9335C" w:rsidP="005E0957">
    <w:pPr>
      <w:pStyle w:val="Footer"/>
      <w:tabs>
        <w:tab w:val="left" w:pos="5727"/>
      </w:tabs>
      <w:rPr>
        <w:rFonts w:asciiTheme="majorHAnsi" w:eastAsiaTheme="majorEastAsia" w:hAnsiTheme="majorHAnsi" w:cstheme="majorBidi"/>
        <w:noProof/>
        <w:color w:val="156082" w:themeColor="accent1"/>
        <w:sz w:val="20"/>
        <w:szCs w:val="20"/>
      </w:rPr>
    </w:pPr>
    <w:r>
      <w:rPr>
        <w:noProof/>
        <w:color w:val="156082" w:themeColor="accent1"/>
      </w:rPr>
      <mc:AlternateContent>
        <mc:Choice Requires="wps">
          <w:drawing>
            <wp:anchor distT="0" distB="0" distL="114300" distR="114300" simplePos="0" relativeHeight="251662336" behindDoc="0" locked="0" layoutInCell="1" allowOverlap="1" wp14:anchorId="6B74F20B" wp14:editId="00769021">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A7915D0" id="Rectangle 247" o:spid="_x0000_s1026"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color w:val="156082" w:themeColor="accent1"/>
        <w:sz w:val="20"/>
        <w:szCs w:val="20"/>
      </w:rPr>
      <w:fldChar w:fldCharType="begin"/>
    </w:r>
    <w:r>
      <w:rPr>
        <w:color w:val="156082" w:themeColor="accent1"/>
        <w:sz w:val="20"/>
        <w:szCs w:val="20"/>
      </w:rPr>
      <w:instrText xml:space="preserve"> PAGE    \* MERGEFORMAT </w:instrText>
    </w:r>
    <w:r>
      <w:rPr>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r>
      <w:rPr>
        <w:rFonts w:asciiTheme="majorHAnsi" w:eastAsiaTheme="majorEastAsia" w:hAnsiTheme="majorHAnsi" w:cstheme="majorBidi"/>
        <w:noProof/>
        <w:color w:val="156082" w:themeColor="accent1"/>
        <w:sz w:val="20"/>
        <w:szCs w:val="20"/>
      </w:rPr>
      <w:t xml:space="preserve"> </w:t>
    </w:r>
    <w:r w:rsidR="005E0957">
      <w:rPr>
        <w:rFonts w:asciiTheme="majorHAnsi" w:eastAsiaTheme="majorEastAsia" w:hAnsiTheme="majorHAnsi" w:cstheme="majorBidi"/>
        <w:noProof/>
        <w:color w:val="156082" w:themeColor="accent1"/>
        <w:sz w:val="20"/>
        <w:szCs w:val="20"/>
      </w:rPr>
      <w:t xml:space="preserve"> </w:t>
    </w:r>
    <w:r w:rsidR="005E0957">
      <w:rPr>
        <w:rFonts w:asciiTheme="majorHAnsi" w:eastAsiaTheme="majorEastAsia" w:hAnsiTheme="majorHAnsi" w:cstheme="majorBidi"/>
        <w:noProof/>
        <w:color w:val="156082" w:themeColor="accent1"/>
        <w:sz w:val="20"/>
        <w:szCs w:val="20"/>
      </w:rPr>
      <w:tab/>
    </w:r>
    <w:r w:rsidR="005E0957" w:rsidRPr="00A911E9">
      <w:rPr>
        <w:rFonts w:asciiTheme="majorHAnsi" w:eastAsiaTheme="majorEastAsia" w:hAnsiTheme="majorHAnsi" w:cstheme="majorBidi"/>
        <w:noProof/>
        <w:color w:val="156082" w:themeColor="accent1"/>
        <w:sz w:val="20"/>
        <w:szCs w:val="20"/>
      </w:rPr>
      <w:t>© 2026 New Concepts. All RIGHTS reserved.</w:t>
    </w:r>
  </w:p>
  <w:p w14:paraId="2EE04498" w14:textId="1D8CB5E3" w:rsidR="00A9335C" w:rsidRDefault="00A93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3611" w14:textId="77777777" w:rsidR="00FD29A2" w:rsidRDefault="00FD29A2" w:rsidP="00A9335C">
      <w:pPr>
        <w:spacing w:after="0" w:line="240" w:lineRule="auto"/>
      </w:pPr>
      <w:r>
        <w:separator/>
      </w:r>
    </w:p>
  </w:footnote>
  <w:footnote w:type="continuationSeparator" w:id="0">
    <w:p w14:paraId="64E628E2" w14:textId="77777777" w:rsidR="00FD29A2" w:rsidRDefault="00FD29A2" w:rsidP="00A93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B7E7" w14:textId="7D6445A5" w:rsidR="00A9335C" w:rsidRDefault="00000000">
    <w:pPr>
      <w:pStyle w:val="Header"/>
    </w:pPr>
    <w:r>
      <w:rPr>
        <w:noProof/>
      </w:rPr>
      <w:pict w14:anchorId="0AD0C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992751" o:spid="_x0000_s1026" type="#_x0000_t75" style="position:absolute;margin-left:0;margin-top:0;width:451.15pt;height:448.5pt;z-index:-251657216;mso-position-horizontal:center;mso-position-horizontal-relative:margin;mso-position-vertical:center;mso-position-vertical-relative:margin" o:allowincell="f">
          <v:imagedata r:id="rId1" o:title="Favicon-New Concept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5B4A" w14:textId="06A3C10D" w:rsidR="00A9335C" w:rsidRDefault="00000000">
    <w:pPr>
      <w:pStyle w:val="Header"/>
    </w:pPr>
    <w:r>
      <w:rPr>
        <w:noProof/>
      </w:rPr>
      <w:pict w14:anchorId="5331C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992752" o:spid="_x0000_s1027" type="#_x0000_t75" style="position:absolute;margin-left:0;margin-top:0;width:451.15pt;height:448.5pt;z-index:-251656192;mso-position-horizontal:center;mso-position-horizontal-relative:margin;mso-position-vertical:center;mso-position-vertical-relative:margin" o:allowincell="f">
          <v:imagedata r:id="rId1" o:title="Favicon-New Concept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C153" w14:textId="7A1A2126" w:rsidR="00A9335C" w:rsidRDefault="00000000">
    <w:pPr>
      <w:pStyle w:val="Header"/>
    </w:pPr>
    <w:r>
      <w:rPr>
        <w:noProof/>
      </w:rPr>
      <w:pict w14:anchorId="5776A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992750" o:spid="_x0000_s1025" type="#_x0000_t75" style="position:absolute;margin-left:0;margin-top:0;width:451.15pt;height:448.5pt;z-index:-251658240;mso-position-horizontal:center;mso-position-horizontal-relative:margin;mso-position-vertical:center;mso-position-vertical-relative:margin" o:allowincell="f">
          <v:imagedata r:id="rId1" o:title="Favicon-New Concept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177"/>
    <w:multiLevelType w:val="multilevel"/>
    <w:tmpl w:val="6936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E0664"/>
    <w:multiLevelType w:val="multilevel"/>
    <w:tmpl w:val="AD1A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E2C16"/>
    <w:multiLevelType w:val="multilevel"/>
    <w:tmpl w:val="15BC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A32566"/>
    <w:multiLevelType w:val="multilevel"/>
    <w:tmpl w:val="CD8A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44793"/>
    <w:multiLevelType w:val="multilevel"/>
    <w:tmpl w:val="17AE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1670C"/>
    <w:multiLevelType w:val="multilevel"/>
    <w:tmpl w:val="F514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02068D"/>
    <w:multiLevelType w:val="multilevel"/>
    <w:tmpl w:val="EB46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6C4958"/>
    <w:multiLevelType w:val="multilevel"/>
    <w:tmpl w:val="E7CA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324FD0"/>
    <w:multiLevelType w:val="multilevel"/>
    <w:tmpl w:val="55B4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125470">
    <w:abstractNumId w:val="8"/>
  </w:num>
  <w:num w:numId="2" w16cid:durableId="775446750">
    <w:abstractNumId w:val="5"/>
  </w:num>
  <w:num w:numId="3" w16cid:durableId="1203713492">
    <w:abstractNumId w:val="0"/>
  </w:num>
  <w:num w:numId="4" w16cid:durableId="2022735708">
    <w:abstractNumId w:val="7"/>
  </w:num>
  <w:num w:numId="5" w16cid:durableId="1993441130">
    <w:abstractNumId w:val="6"/>
  </w:num>
  <w:num w:numId="6" w16cid:durableId="2093817441">
    <w:abstractNumId w:val="3"/>
  </w:num>
  <w:num w:numId="7" w16cid:durableId="81221646">
    <w:abstractNumId w:val="1"/>
  </w:num>
  <w:num w:numId="8" w16cid:durableId="412556924">
    <w:abstractNumId w:val="4"/>
  </w:num>
  <w:num w:numId="9" w16cid:durableId="389694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5C"/>
    <w:rsid w:val="0002297A"/>
    <w:rsid w:val="0009442F"/>
    <w:rsid w:val="002545EC"/>
    <w:rsid w:val="00386051"/>
    <w:rsid w:val="003E46B1"/>
    <w:rsid w:val="00471557"/>
    <w:rsid w:val="00512B4C"/>
    <w:rsid w:val="005E0957"/>
    <w:rsid w:val="00666F5C"/>
    <w:rsid w:val="00704F75"/>
    <w:rsid w:val="00A9335C"/>
    <w:rsid w:val="00AF7958"/>
    <w:rsid w:val="00B16BFF"/>
    <w:rsid w:val="00B55EF5"/>
    <w:rsid w:val="00BE7A81"/>
    <w:rsid w:val="00D56DEC"/>
    <w:rsid w:val="00F75104"/>
    <w:rsid w:val="00F761A6"/>
    <w:rsid w:val="00FD29A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E592F"/>
  <w15:chartTrackingRefBased/>
  <w15:docId w15:val="{5F568BB8-7FD0-42B7-976B-E9CD346D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35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A9335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A9335C"/>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93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35C"/>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A9335C"/>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A9335C"/>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93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35C"/>
    <w:rPr>
      <w:rFonts w:eastAsiaTheme="majorEastAsia" w:cstheme="majorBidi"/>
      <w:color w:val="272727" w:themeColor="text1" w:themeTint="D8"/>
    </w:rPr>
  </w:style>
  <w:style w:type="paragraph" w:styleId="Title">
    <w:name w:val="Title"/>
    <w:basedOn w:val="Normal"/>
    <w:next w:val="Normal"/>
    <w:link w:val="TitleChar"/>
    <w:uiPriority w:val="10"/>
    <w:qFormat/>
    <w:rsid w:val="00A9335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9335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9335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9335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9335C"/>
    <w:pPr>
      <w:spacing w:before="160"/>
      <w:jc w:val="center"/>
    </w:pPr>
    <w:rPr>
      <w:i/>
      <w:iCs/>
      <w:color w:val="404040" w:themeColor="text1" w:themeTint="BF"/>
    </w:rPr>
  </w:style>
  <w:style w:type="character" w:customStyle="1" w:styleId="QuoteChar">
    <w:name w:val="Quote Char"/>
    <w:basedOn w:val="DefaultParagraphFont"/>
    <w:link w:val="Quote"/>
    <w:uiPriority w:val="29"/>
    <w:rsid w:val="00A9335C"/>
    <w:rPr>
      <w:i/>
      <w:iCs/>
      <w:color w:val="404040" w:themeColor="text1" w:themeTint="BF"/>
    </w:rPr>
  </w:style>
  <w:style w:type="paragraph" w:styleId="ListParagraph">
    <w:name w:val="List Paragraph"/>
    <w:basedOn w:val="Normal"/>
    <w:uiPriority w:val="34"/>
    <w:qFormat/>
    <w:rsid w:val="00A9335C"/>
    <w:pPr>
      <w:ind w:left="720"/>
      <w:contextualSpacing/>
    </w:pPr>
  </w:style>
  <w:style w:type="character" w:styleId="IntenseEmphasis">
    <w:name w:val="Intense Emphasis"/>
    <w:basedOn w:val="DefaultParagraphFont"/>
    <w:uiPriority w:val="21"/>
    <w:qFormat/>
    <w:rsid w:val="00A9335C"/>
    <w:rPr>
      <w:i/>
      <w:iCs/>
      <w:color w:val="0F4761" w:themeColor="accent1" w:themeShade="BF"/>
    </w:rPr>
  </w:style>
  <w:style w:type="paragraph" w:styleId="IntenseQuote">
    <w:name w:val="Intense Quote"/>
    <w:basedOn w:val="Normal"/>
    <w:next w:val="Normal"/>
    <w:link w:val="IntenseQuoteChar"/>
    <w:uiPriority w:val="30"/>
    <w:qFormat/>
    <w:rsid w:val="00A93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35C"/>
    <w:rPr>
      <w:i/>
      <w:iCs/>
      <w:color w:val="0F4761" w:themeColor="accent1" w:themeShade="BF"/>
    </w:rPr>
  </w:style>
  <w:style w:type="character" w:styleId="IntenseReference">
    <w:name w:val="Intense Reference"/>
    <w:basedOn w:val="DefaultParagraphFont"/>
    <w:uiPriority w:val="32"/>
    <w:qFormat/>
    <w:rsid w:val="00A9335C"/>
    <w:rPr>
      <w:b/>
      <w:bCs/>
      <w:smallCaps/>
      <w:color w:val="0F4761" w:themeColor="accent1" w:themeShade="BF"/>
      <w:spacing w:val="5"/>
    </w:rPr>
  </w:style>
  <w:style w:type="character" w:styleId="Hyperlink">
    <w:name w:val="Hyperlink"/>
    <w:basedOn w:val="DefaultParagraphFont"/>
    <w:uiPriority w:val="99"/>
    <w:unhideWhenUsed/>
    <w:rsid w:val="00A9335C"/>
    <w:rPr>
      <w:color w:val="467886" w:themeColor="hyperlink"/>
      <w:u w:val="single"/>
    </w:rPr>
  </w:style>
  <w:style w:type="character" w:styleId="UnresolvedMention">
    <w:name w:val="Unresolved Mention"/>
    <w:basedOn w:val="DefaultParagraphFont"/>
    <w:uiPriority w:val="99"/>
    <w:semiHidden/>
    <w:unhideWhenUsed/>
    <w:rsid w:val="00A9335C"/>
    <w:rPr>
      <w:color w:val="605E5C"/>
      <w:shd w:val="clear" w:color="auto" w:fill="E1DFDD"/>
    </w:rPr>
  </w:style>
  <w:style w:type="paragraph" w:styleId="Header">
    <w:name w:val="header"/>
    <w:basedOn w:val="Normal"/>
    <w:link w:val="HeaderChar"/>
    <w:uiPriority w:val="99"/>
    <w:unhideWhenUsed/>
    <w:rsid w:val="00A93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35C"/>
  </w:style>
  <w:style w:type="paragraph" w:styleId="Footer">
    <w:name w:val="footer"/>
    <w:basedOn w:val="Normal"/>
    <w:link w:val="FooterChar"/>
    <w:uiPriority w:val="99"/>
    <w:unhideWhenUsed/>
    <w:rsid w:val="00A93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35C"/>
  </w:style>
  <w:style w:type="character" w:styleId="PlaceholderText">
    <w:name w:val="Placeholder Text"/>
    <w:basedOn w:val="DefaultParagraphFont"/>
    <w:uiPriority w:val="99"/>
    <w:semiHidden/>
    <w:rsid w:val="0009442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E200FB-BC17-44CB-8AFF-37D42805B150}"/>
      </w:docPartPr>
      <w:docPartBody>
        <w:p w:rsidR="00F3581E" w:rsidRDefault="00271736">
          <w:r w:rsidRPr="00375A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36"/>
    <w:rsid w:val="0002297A"/>
    <w:rsid w:val="000D2D6F"/>
    <w:rsid w:val="00271736"/>
    <w:rsid w:val="009461BD"/>
    <w:rsid w:val="00D56DEC"/>
    <w:rsid w:val="00F3581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73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679</Words>
  <Characters>4460</Characters>
  <Application>Microsoft Office Word</Application>
  <DocSecurity>0</DocSecurity>
  <Lines>117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Prisha Pai</dc:creator>
  <cp:keywords/>
  <dc:description/>
  <cp:lastModifiedBy>Prisha Pai</cp:lastModifiedBy>
  <cp:revision>2</cp:revision>
  <cp:lastPrinted>2026-05-30T10:53:00Z</cp:lastPrinted>
  <dcterms:created xsi:type="dcterms:W3CDTF">2026-05-30T10:54:00Z</dcterms:created>
  <dcterms:modified xsi:type="dcterms:W3CDTF">2026-05-30T10:54:00Z</dcterms:modified>
</cp:coreProperties>
</file>